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74" w:rsidRDefault="001A1AFA" w:rsidP="00F33565">
      <w:pPr>
        <w:pStyle w:val="Heading1"/>
        <w:rPr>
          <w:b w:val="0"/>
          <w:sz w:val="36"/>
          <w:szCs w:val="36"/>
        </w:rPr>
      </w:pPr>
      <w:r w:rsidRPr="00F450C3">
        <w:rPr>
          <w:lang w:val="is-IS"/>
        </w:rPr>
        <w:t xml:space="preserve"> </w:t>
      </w:r>
    </w:p>
    <w:p w:rsidR="00A832E2" w:rsidRPr="00EA5A09" w:rsidRDefault="00502B49" w:rsidP="00FE2D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5A09">
        <w:rPr>
          <w:rFonts w:ascii="Times New Roman" w:hAnsi="Times New Roman" w:cs="Times New Roman"/>
          <w:b/>
          <w:sz w:val="36"/>
          <w:szCs w:val="36"/>
        </w:rPr>
        <w:t>G</w:t>
      </w:r>
      <w:r w:rsidR="00B64BF0" w:rsidRPr="00EA5A09">
        <w:rPr>
          <w:rFonts w:ascii="Times New Roman" w:hAnsi="Times New Roman" w:cs="Times New Roman"/>
          <w:b/>
          <w:sz w:val="36"/>
          <w:szCs w:val="36"/>
        </w:rPr>
        <w:t>JALDSKRÁ</w:t>
      </w:r>
    </w:p>
    <w:p w:rsidR="00A832E2" w:rsidRPr="00EA5A09" w:rsidRDefault="00EA5A09" w:rsidP="00FE2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09">
        <w:rPr>
          <w:rFonts w:ascii="Times New Roman" w:hAnsi="Times New Roman" w:cs="Times New Roman"/>
          <w:b/>
          <w:sz w:val="24"/>
          <w:szCs w:val="24"/>
        </w:rPr>
        <w:t xml:space="preserve">fyrir afgreiðslu umsókna, leyfisveitingar og </w:t>
      </w:r>
      <w:bookmarkStart w:id="0" w:name="_GoBack"/>
      <w:r w:rsidRPr="00EA5A09">
        <w:rPr>
          <w:rFonts w:ascii="Times New Roman" w:hAnsi="Times New Roman" w:cs="Times New Roman"/>
          <w:b/>
          <w:sz w:val="24"/>
          <w:szCs w:val="24"/>
        </w:rPr>
        <w:t>þjónustu skipulags- og byggingarfulltrúaembættis Skorradalshrepps</w:t>
      </w:r>
    </w:p>
    <w:bookmarkEnd w:id="0"/>
    <w:p w:rsidR="00BC772E" w:rsidRPr="000B2574" w:rsidRDefault="00BC772E" w:rsidP="000B2574">
      <w:pPr>
        <w:pStyle w:val="ListParagraph"/>
        <w:numPr>
          <w:ilvl w:val="0"/>
          <w:numId w:val="1"/>
        </w:numPr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2574">
        <w:rPr>
          <w:rFonts w:ascii="Times New Roman" w:hAnsi="Times New Roman" w:cs="Times New Roman"/>
          <w:i/>
          <w:sz w:val="24"/>
          <w:szCs w:val="24"/>
        </w:rPr>
        <w:t xml:space="preserve">gr. </w:t>
      </w:r>
    </w:p>
    <w:p w:rsidR="00A832E2" w:rsidRPr="00BC772E" w:rsidRDefault="00BC772E" w:rsidP="000B2574">
      <w:pPr>
        <w:pStyle w:val="ListParagraph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72E">
        <w:rPr>
          <w:rFonts w:ascii="Times New Roman" w:hAnsi="Times New Roman" w:cs="Times New Roman"/>
          <w:i/>
          <w:sz w:val="24"/>
          <w:szCs w:val="24"/>
        </w:rPr>
        <w:t>Almenn ákvæði</w:t>
      </w:r>
    </w:p>
    <w:p w:rsidR="00BC772E" w:rsidRDefault="007E2CDF" w:rsidP="00FE2D0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Skorradalshreppur</w:t>
      </w:r>
      <w:r w:rsidR="00BC772E">
        <w:rPr>
          <w:rFonts w:ascii="Times New Roman" w:hAnsi="Times New Roman" w:cs="Times New Roman"/>
          <w:sz w:val="24"/>
          <w:szCs w:val="24"/>
        </w:rPr>
        <w:t xml:space="preserve"> hefur ákveðið að setja gjaldskrá til innheimtu kostnaðar við útgáfu </w:t>
      </w:r>
      <w:r w:rsidR="002E36E7">
        <w:rPr>
          <w:rFonts w:ascii="Times New Roman" w:hAnsi="Times New Roman" w:cs="Times New Roman"/>
          <w:sz w:val="24"/>
          <w:szCs w:val="24"/>
        </w:rPr>
        <w:t>byggingaleyfis, framkvæmdaleyfis</w:t>
      </w:r>
      <w:r w:rsidR="00BC772E">
        <w:rPr>
          <w:rFonts w:ascii="Times New Roman" w:hAnsi="Times New Roman" w:cs="Times New Roman"/>
          <w:sz w:val="24"/>
          <w:szCs w:val="24"/>
        </w:rPr>
        <w:t xml:space="preserve"> og vegna vinnu við skipulagsmál. </w:t>
      </w:r>
      <w:r w:rsidR="002E36E7">
        <w:rPr>
          <w:rFonts w:ascii="Times New Roman" w:hAnsi="Times New Roman" w:cs="Times New Roman"/>
          <w:sz w:val="24"/>
          <w:szCs w:val="24"/>
        </w:rPr>
        <w:t xml:space="preserve">Gjaldskráin tekur til útgáfu leyfa, skjalagerðar, yfirlestur gagna, auglýsinga, kynninga og allrar annarrar umsýslu og þjónustu sem embætti skipulags- og byggingarfulltrúa í Skorradal veitir, svo sem vegna bygginga og framkvæmda sem bundnar eru leyfum, gerð skipulagsáætlana og breytingu á þeim, samkvæmt skipulagslögum nr. 123/2010 </w:t>
      </w:r>
      <w:r w:rsidR="00F450C3">
        <w:rPr>
          <w:rFonts w:ascii="Times New Roman" w:hAnsi="Times New Roman" w:cs="Times New Roman"/>
          <w:sz w:val="24"/>
          <w:szCs w:val="24"/>
        </w:rPr>
        <w:t xml:space="preserve">m.s. br. </w:t>
      </w:r>
      <w:r w:rsidR="002E36E7">
        <w:rPr>
          <w:rFonts w:ascii="Times New Roman" w:hAnsi="Times New Roman" w:cs="Times New Roman"/>
          <w:sz w:val="24"/>
          <w:szCs w:val="24"/>
        </w:rPr>
        <w:t>og mannvirkjalögum nr. 160/2010</w:t>
      </w:r>
      <w:r w:rsidR="00F450C3">
        <w:rPr>
          <w:rFonts w:ascii="Times New Roman" w:hAnsi="Times New Roman" w:cs="Times New Roman"/>
          <w:sz w:val="24"/>
          <w:szCs w:val="24"/>
        </w:rPr>
        <w:t xml:space="preserve"> m.s.br.</w:t>
      </w:r>
      <w:r w:rsidR="002E36E7">
        <w:rPr>
          <w:rFonts w:ascii="Times New Roman" w:hAnsi="Times New Roman" w:cs="Times New Roman"/>
          <w:sz w:val="24"/>
          <w:szCs w:val="24"/>
        </w:rPr>
        <w:t>.</w:t>
      </w:r>
    </w:p>
    <w:p w:rsidR="002E36E7" w:rsidRDefault="002E36E7" w:rsidP="00FE2D0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36E7" w:rsidRDefault="002E36E7" w:rsidP="00FE2D0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Tekjum sveitarfélagsins skv. gjaldskrá þessari skal varið til að sta</w:t>
      </w:r>
      <w:r w:rsidR="00FE2D07">
        <w:rPr>
          <w:rFonts w:ascii="Times New Roman" w:hAnsi="Times New Roman" w:cs="Times New Roman"/>
          <w:sz w:val="24"/>
          <w:szCs w:val="24"/>
        </w:rPr>
        <w:t xml:space="preserve">nda undir hluta kostnaðar embættis </w:t>
      </w:r>
      <w:r>
        <w:rPr>
          <w:rFonts w:ascii="Times New Roman" w:hAnsi="Times New Roman" w:cs="Times New Roman"/>
          <w:sz w:val="24"/>
          <w:szCs w:val="24"/>
        </w:rPr>
        <w:t>skipulags- og byggingarfulltrúa.</w:t>
      </w:r>
    </w:p>
    <w:p w:rsidR="00FE2D07" w:rsidRDefault="00FE2D07" w:rsidP="00FE2D0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2D07" w:rsidRPr="00E23B57" w:rsidRDefault="00562271" w:rsidP="0056227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FE2D07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E2D07" w:rsidRPr="00E23B57" w:rsidRDefault="006E35FC" w:rsidP="000B2574">
      <w:pPr>
        <w:pStyle w:val="ListParagraph"/>
        <w:ind w:left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Skilgreininga</w:t>
      </w:r>
      <w:r w:rsidR="00ED22D1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</w:p>
    <w:p w:rsidR="00FE2D07" w:rsidRPr="00E23B57" w:rsidRDefault="00FE2D07" w:rsidP="00FE2D07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Afgreiðslugjald:</w:t>
      </w:r>
    </w:p>
    <w:p w:rsidR="00FE2D07" w:rsidRPr="00E23B57" w:rsidRDefault="00FE2D07" w:rsidP="00A36857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Gjald sem greitt er við móttöku </w:t>
      </w:r>
      <w:r w:rsidR="00A36857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umsóknar byggingarleyfis, framkvæmdaleyfis</w:t>
      </w:r>
      <w:r w:rsidR="00ED22D1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</w:t>
      </w:r>
      <w:r w:rsidR="00354E54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562271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nýja skipulagsáætlun</w:t>
      </w:r>
      <w:r w:rsidR="00A36857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eða breytingar á skipulagsáætlun. Í afgreiðslugjaldi felst kostnaður við móttöku og </w:t>
      </w:r>
      <w:r w:rsidR="006E35FC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skráningu </w:t>
      </w:r>
      <w:r w:rsidR="00354E54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umsóknar</w:t>
      </w:r>
      <w:r w:rsidR="00A36857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E36E7" w:rsidRPr="00E23B57" w:rsidRDefault="002E36E7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6E7" w:rsidRPr="00E23B57" w:rsidRDefault="00A36857" w:rsidP="00FE2D07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Umsýslu</w:t>
      </w:r>
      <w:r w:rsidR="0024448C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gjald</w:t>
      </w:r>
      <w:r w:rsidR="00095B76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6E35FC" w:rsidRPr="00E23B57" w:rsidRDefault="006E35FC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Kostnaður Skorradalshrepps vegna yfirferðar gagna, afgreiðslu umsóknar, útgáfu leyfis, eftirlits, úttektar og </w:t>
      </w:r>
      <w:r w:rsidR="00ED22D1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útgáfu 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vottorð</w:t>
      </w:r>
      <w:r w:rsidR="00ED22D1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448C" w:rsidRPr="00E23B57" w:rsidRDefault="0024448C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81C" w:rsidRPr="00E23B57" w:rsidRDefault="0024448C" w:rsidP="00FE2D07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Auglýsingagjald:</w:t>
      </w:r>
    </w:p>
    <w:p w:rsidR="0024448C" w:rsidRPr="00E23B57" w:rsidRDefault="00AD51A8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Kostnaður Skorradalshrepps vegna kynningar, birtinga, auglýsinga og póstkostnaður sem og annar </w:t>
      </w:r>
      <w:r w:rsidR="003D7FD8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útlagður 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kostnaður vegna umsýslu umsóknar</w:t>
      </w:r>
      <w:r w:rsidR="00F450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51A8" w:rsidRPr="00E23B57" w:rsidRDefault="00AD51A8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81C" w:rsidRPr="00E23B57" w:rsidRDefault="001F081C" w:rsidP="00FE2D07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Auka</w:t>
      </w:r>
      <w:r w:rsidR="006E35FC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yfirferð: </w:t>
      </w:r>
    </w:p>
    <w:p w:rsidR="001F081C" w:rsidRPr="00E23B57" w:rsidRDefault="001F081C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Yfirferð breyttra gagna þar sem umsókn og móttaka gagna hefur áður átt sér stað.</w:t>
      </w:r>
    </w:p>
    <w:p w:rsidR="0067036D" w:rsidRPr="00E23B57" w:rsidRDefault="0067036D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36D" w:rsidRPr="00E23B57" w:rsidRDefault="00F450C3" w:rsidP="00FE2D07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Ú</w:t>
      </w:r>
      <w:r w:rsidR="0067036D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="0067036D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ektargjald:</w:t>
      </w:r>
    </w:p>
    <w:p w:rsidR="0067036D" w:rsidRPr="00E23B57" w:rsidRDefault="0067036D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Gjald sem greiðist vegna </w:t>
      </w:r>
      <w:r w:rsidR="00A6300E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útmælinga, eftirlits eða </w:t>
      </w:r>
      <w:r w:rsidR="00A6300E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auka 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úttektar</w:t>
      </w:r>
      <w:r w:rsidR="00A6300E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skipulags- og byggingarfulltrúa á framkvæmdastað.</w:t>
      </w:r>
    </w:p>
    <w:p w:rsidR="00055F27" w:rsidRPr="00E23B57" w:rsidRDefault="00055F27" w:rsidP="00FE2D0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B76" w:rsidRPr="00E23B57" w:rsidRDefault="00562271" w:rsidP="00FF6E2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gr.</w:t>
      </w:r>
    </w:p>
    <w:p w:rsidR="00FF6E20" w:rsidRPr="00E23B57" w:rsidRDefault="00FF6E20" w:rsidP="000B2574">
      <w:pPr>
        <w:pStyle w:val="ListParagraph"/>
        <w:ind w:left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Innheimta</w:t>
      </w:r>
    </w:p>
    <w:p w:rsidR="00A36857" w:rsidRPr="00E23B57" w:rsidRDefault="00562271" w:rsidP="007E2CDF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Innheimta skal afgreiðslugjald vegna umsóknar um byggingarleyfi, framkvæmdaleyfi og nýja skipulagsáætlun eða breytingar á skipulagsáætlun.</w:t>
      </w:r>
      <w:r w:rsidR="00FF6E20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Innheimta skal byggingarleyfisgjald og framkvæm</w:t>
      </w:r>
      <w:r w:rsidR="00DB4FB1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daleyfisgjald við veitingu leyfis</w:t>
      </w:r>
      <w:r w:rsidR="00FF6E20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.  Innheimta skal skipulagsgjald vegna meðferðar skipulagsmála. Skorradalshreppur skal innheimta gjöld samkvæmt þessari gjaldskrá.</w:t>
      </w:r>
    </w:p>
    <w:p w:rsidR="00FF6E20" w:rsidRPr="00E23B57" w:rsidRDefault="00FF6E20" w:rsidP="007E2CDF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E20" w:rsidRPr="00E23B57" w:rsidRDefault="00FF6E20" w:rsidP="00FF6E2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gr.</w:t>
      </w:r>
    </w:p>
    <w:p w:rsidR="00A36857" w:rsidRPr="00E23B57" w:rsidRDefault="007E2CDF" w:rsidP="000B2574">
      <w:pPr>
        <w:pStyle w:val="ListParagraph"/>
        <w:ind w:left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Byggingarleyfisgjöld</w:t>
      </w:r>
    </w:p>
    <w:p w:rsidR="00307222" w:rsidRPr="00E23B57" w:rsidRDefault="00307222" w:rsidP="0030722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Byggingarleyfisgjald er fyrir veitta þjónustu og verkefni byggingarfulltrúa, m.a. fyrir undirbúning, svo sem vegna nauðsynlegrar aðkeyptrar sérfræðiþjónustu, yfirferðar hönnunar- og aðaluppdráttar, útgáfu byggingarleyfis byggingarfulltrúa, útgáfu stöðuleyfa, útmælingu, eftirlit, úttektir og vottorð sem byggingarfulltrúi lætur í té. Gjald miðast við eina yfirferð aðaluppdrátta.</w:t>
      </w:r>
    </w:p>
    <w:p w:rsidR="00307222" w:rsidRPr="00E23B57" w:rsidRDefault="00307222" w:rsidP="007E2CDF">
      <w:pPr>
        <w:pStyle w:val="ListParagraph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Afgreiðslugjald við móttöku </w:t>
      </w:r>
      <w:r w:rsidR="005207E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byggingarleyfis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umsóknar</w:t>
      </w:r>
      <w:r w:rsidR="0038364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, </w:t>
      </w:r>
      <w:r w:rsidR="00953E9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11.750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38364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E52801" w:rsidRDefault="00785916" w:rsidP="00E52801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Fermetragjald af nýbyggingu eða viðbyggingu</w:t>
      </w:r>
      <w:r w:rsidR="00E5280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953E9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85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52801" w:rsidRDefault="00E52801" w:rsidP="00E52801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Rúmmetragjald af nýbyggingu eða viðbyggingu,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85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0A07F3" w:rsidRPr="00E5280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Yfirferð aðaluppdrátta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E5280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18.300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E5280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E5280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F67595" w:rsidRPr="00E23B57" w:rsidRDefault="00F67595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Afgreiðslugjald vegna hverrar úttektar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11.750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F67595" w:rsidRPr="00E23B57" w:rsidRDefault="00F67595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Áfangaúttekt/stöðuúttekt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39.200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F67595" w:rsidRPr="00FB79F4" w:rsidRDefault="00F67595" w:rsidP="00FB79F4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Fokheldisúttekt og vottorð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35.000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0A07F3" w:rsidRP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F67595" w:rsidRPr="00FB79F4" w:rsidRDefault="00F67595" w:rsidP="00FB79F4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Lokaúttekt og vottorð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56.200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0A07F3" w:rsidRP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Úttekt vegna meistaraskipta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39.200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Úttekt vegna byggingarstjóraskipta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39.200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 fyrir útkall þegar verk reynist ekki úttektarhæft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11.750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Mæling lóðar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56.000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FB79F4" w:rsidRDefault="00785916" w:rsidP="00FB79F4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Mæling fyrir húsi á lóð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56.000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0A07F3" w:rsidRP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Stöðuleyfi til hálfs árs fyrir hverja einingu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19.600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lastRenderedPageBreak/>
        <w:t>Framlenging á stöðuleyfi til hálfs árs fyrir hverja einingu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19.600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Umsýsla vegna stofnunar lóðar eða breytingar á lóð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18.300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Húsaleiguúttekt íbúðarhúsnæði, hvert fastanúmer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35.000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Húsaleiguúttekt atvinnuhúsnæði, hvert fastanúmer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45.000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Yfirferð eignaskiptayfirlýsinga, 1-5 fastanúmer í hús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i,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35.000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Viðbót vegna eignaskiptayfirlýsinga, hvert fastanúmer umfram 5 í húsi</w:t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,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  <w:r w:rsidR="00FB79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7.500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Yfirferð nýrra eða breyttra hönnunargagna eftir útg. bygg.leyfis, lágmark</w:t>
      </w:r>
      <w:r w:rsidR="00444D2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="000A07F3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D13620" w:rsidRPr="00E23B57" w:rsidRDefault="00785916" w:rsidP="000A07F3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Yfirferð nýrra eða breyttra hönnunargagna eftir útg. bygg.leyfis, hámark</w:t>
      </w:r>
      <w:r w:rsidR="00444D2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85.000 kr</w:t>
      </w:r>
      <w:r w:rsidR="000B257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</w:p>
    <w:p w:rsidR="00785916" w:rsidRPr="00E23B57" w:rsidRDefault="000A07F3" w:rsidP="00444D2C">
      <w:pPr>
        <w:pStyle w:val="ListParagraph"/>
        <w:tabs>
          <w:tab w:val="right" w:pos="9356"/>
        </w:tabs>
        <w:ind w:left="56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7E2CDF" w:rsidRPr="00E23B57" w:rsidRDefault="007E2CDF" w:rsidP="00246C21">
      <w:pPr>
        <w:pStyle w:val="ListParagraph"/>
        <w:tabs>
          <w:tab w:val="left" w:pos="1134"/>
          <w:tab w:val="right" w:pos="9356"/>
        </w:tabs>
        <w:ind w:left="567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246C21" w:rsidRPr="00E23B57" w:rsidRDefault="00CC4D20" w:rsidP="000B2574">
      <w:pPr>
        <w:pStyle w:val="ListParagraph"/>
        <w:numPr>
          <w:ilvl w:val="0"/>
          <w:numId w:val="1"/>
        </w:numPr>
        <w:tabs>
          <w:tab w:val="right" w:pos="9356"/>
        </w:tabs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</w:t>
      </w:r>
      <w:r w:rsidR="00246C21"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r.</w:t>
      </w:r>
    </w:p>
    <w:p w:rsidR="00246C21" w:rsidRPr="00E23B57" w:rsidRDefault="00246C21" w:rsidP="00246C21">
      <w:pPr>
        <w:pStyle w:val="ListParagraph"/>
        <w:tabs>
          <w:tab w:val="left" w:pos="1134"/>
          <w:tab w:val="right" w:pos="9356"/>
        </w:tabs>
        <w:ind w:left="0"/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Framkvæmdaleyfisgjöld</w:t>
      </w:r>
    </w:p>
    <w:p w:rsidR="0067036D" w:rsidRPr="00E23B57" w:rsidRDefault="0067036D" w:rsidP="0067036D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Framkvæmdaleyfisgjald er fyrir veitta þjónustu og verkefni skipulagsfulltrúa, m.a. fyrir undirbúning, svo sem vegna nauðsynlegrar aðkeyptrar sérfræðiþjónustu, yfirferðar framkvæmdaleyfisgagna, útgáfu framkvæmdaleyfis skipulagsfulltrúa, útmælingu, eftirlit, úttektir og vottorð sem</w:t>
      </w:r>
      <w:r w:rsidR="006E35FC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skipulagsfulltrúi lætur í té. Umsýslug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jald miðast við eina yfirferð framkvæmdaleyfisgagna</w:t>
      </w:r>
      <w:r w:rsidR="0024448C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eina úttekt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FE6799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Skipulagsfulltrúi áætlar </w:t>
      </w:r>
      <w:r w:rsidR="00A6300E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umfang</w:t>
      </w:r>
      <w:r w:rsidR="00FE6799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00E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útmælinga, eftirlitsferða og úttekta</w:t>
      </w:r>
      <w:r w:rsidR="00FE6799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við útgáfu framkvæmdaleyfis og leggur gjöld vegna þeirra við útgáfu leyfi</w:t>
      </w:r>
      <w:r w:rsidR="0024448C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sins.  Vinna v</w:t>
      </w:r>
      <w:r w:rsidR="00FE6799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egna aðkeyptrar </w:t>
      </w:r>
      <w:r w:rsidR="0024448C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þjónustu</w:t>
      </w:r>
      <w:r w:rsidR="00FE6799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við framkvæmdaleyfi sem nauðsynleg er vegna útgáfu þess skal innheimta sérstaklega samkvæmt reikningi hverju sinni.</w:t>
      </w:r>
    </w:p>
    <w:p w:rsidR="0067036D" w:rsidRPr="00E23B57" w:rsidRDefault="0067036D" w:rsidP="00246C21">
      <w:pPr>
        <w:pStyle w:val="ListParagraph"/>
        <w:tabs>
          <w:tab w:val="left" w:pos="1134"/>
          <w:tab w:val="right" w:pos="9356"/>
        </w:tabs>
        <w:ind w:left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7036D" w:rsidRPr="00E23B57" w:rsidRDefault="00246C21" w:rsidP="0067036D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Afgrei</w:t>
      </w:r>
      <w:r w:rsidR="00A02445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ð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slugjald</w:t>
      </w:r>
      <w:r w:rsidR="00CC4D20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við móttöku </w:t>
      </w:r>
      <w:r w:rsidR="005207E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framkvæmdaleyfis</w:t>
      </w:r>
      <w:r w:rsidR="00CC4D20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umsóknar</w:t>
      </w:r>
      <w:r w:rsidR="005207E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</w:t>
      </w:r>
      <w:r w:rsidR="003D7FD8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10.5</w:t>
      </w:r>
      <w:r w:rsidR="0067036D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00 kr.</w:t>
      </w:r>
    </w:p>
    <w:p w:rsidR="00246C21" w:rsidRPr="00E23B57" w:rsidRDefault="00CC4D20" w:rsidP="00CC4D20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</w:t>
      </w:r>
      <w:r w:rsidR="00E333C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gjald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</w:t>
      </w:r>
      <w:r w:rsidR="00246C2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ramkvæmdaleyfi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246C2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skv. 13. gr. skipulagslaga</w:t>
      </w:r>
      <w:r w:rsidR="00375CB5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50.000 kr.</w:t>
      </w:r>
    </w:p>
    <w:p w:rsidR="009F741B" w:rsidRPr="00E23B57" w:rsidRDefault="00E333CC" w:rsidP="009F741B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Umsýslugjald</w:t>
      </w:r>
      <w:r w:rsidR="009F741B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framkvæmdaleyfis skv. </w:t>
      </w:r>
      <w:r w:rsidR="00375CB5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13. og </w:t>
      </w:r>
      <w:r w:rsidR="009F741B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14. gr. skipulagslaga</w:t>
      </w:r>
      <w:r w:rsidR="0024448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50.000+</w:t>
      </w:r>
      <w:r w:rsidR="00375CB5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200.000 kr.</w:t>
      </w:r>
    </w:p>
    <w:p w:rsidR="00354E54" w:rsidRPr="00E23B57" w:rsidRDefault="00D13620" w:rsidP="006E35FC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</w:t>
      </w:r>
      <w:r w:rsidR="00E333C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gjald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framkvæmdaleyfis skv. </w:t>
      </w:r>
      <w:r w:rsidR="00375CB5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13. og 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44.</w:t>
      </w:r>
      <w:r w:rsidR="004E78D0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="004E78D0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skipulagslaga</w:t>
      </w:r>
      <w:r w:rsidR="0024448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50.000</w:t>
      </w:r>
      <w:r w:rsidR="00375CB5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+</w:t>
      </w:r>
      <w:r w:rsidR="0024448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30.000 kr.</w:t>
      </w:r>
      <w:r w:rsidR="0024448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67036D" w:rsidRPr="00E23B57" w:rsidRDefault="0067036D" w:rsidP="00CC4D20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Auka</w:t>
      </w:r>
      <w:r w:rsidR="006E35F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yfirferð framkvæmdaleyfisgagna</w:t>
      </w:r>
      <w:r w:rsidR="0024448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D7FD8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10.5</w:t>
      </w:r>
      <w:r w:rsidR="006E35FC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00 kr./klst.</w:t>
      </w:r>
    </w:p>
    <w:p w:rsidR="003D7FD8" w:rsidRDefault="006E35FC" w:rsidP="00CC4D20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Auka </w:t>
      </w:r>
      <w:r w:rsidR="0067036D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úttekt</w:t>
      </w:r>
      <w:r w:rsidR="00A6300E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argjald</w:t>
      </w:r>
      <w:r w:rsidR="00375CB5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D7FD8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10.5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00 kr./klst.</w:t>
      </w:r>
    </w:p>
    <w:p w:rsidR="005207EE" w:rsidRPr="00E23B57" w:rsidRDefault="005207EE" w:rsidP="00CC4D20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Óveruleg</w:t>
      </w:r>
      <w:r w:rsidR="00412CD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framkvæmd skv. 5. gr. reglugerðar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nr. 772/2012</w:t>
      </w:r>
      <w:r w:rsidR="00412CD8">
        <w:rPr>
          <w:rFonts w:asciiTheme="majorHAnsi" w:hAnsiTheme="majorHAnsi" w:cstheme="majorHAnsi"/>
          <w:color w:val="000000" w:themeColor="text1"/>
          <w:sz w:val="24"/>
          <w:szCs w:val="24"/>
        </w:rPr>
        <w:t>, þ.e. graftrarleyfi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12CD8">
        <w:rPr>
          <w:rFonts w:asciiTheme="majorHAnsi" w:hAnsiTheme="majorHAnsi" w:cstheme="majorHAnsi"/>
          <w:color w:val="000000" w:themeColor="text1"/>
          <w:sz w:val="24"/>
          <w:szCs w:val="24"/>
        </w:rPr>
        <w:t>30.000 kr.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246C21" w:rsidRPr="00E23B57" w:rsidRDefault="003D7FD8" w:rsidP="00CC4D20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Umsýsla vegna afhendingar landupplýsinga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10.500 kr.</w:t>
      </w:r>
      <w:r w:rsidR="00246C2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CC4D20" w:rsidRPr="00E23B57" w:rsidRDefault="00CC4D20" w:rsidP="00CC4D20">
      <w:pPr>
        <w:pStyle w:val="ListParagraph"/>
        <w:tabs>
          <w:tab w:val="right" w:pos="9356"/>
        </w:tabs>
        <w:ind w:left="567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D20" w:rsidRPr="00E23B57" w:rsidRDefault="00CC4D20" w:rsidP="00CC4D20">
      <w:pPr>
        <w:pStyle w:val="ListParagraph"/>
        <w:numPr>
          <w:ilvl w:val="0"/>
          <w:numId w:val="1"/>
        </w:numPr>
        <w:tabs>
          <w:tab w:val="right" w:pos="9356"/>
        </w:tabs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gr.</w:t>
      </w:r>
    </w:p>
    <w:p w:rsidR="00CC4D20" w:rsidRPr="00E23B57" w:rsidRDefault="00D13620" w:rsidP="00CC4D20">
      <w:pPr>
        <w:pStyle w:val="ListParagraph"/>
        <w:tabs>
          <w:tab w:val="right" w:pos="9356"/>
        </w:tabs>
        <w:ind w:left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Skipulagsgjöld vegna breytinga á a</w:t>
      </w:r>
      <w:r w:rsidR="00CC4D20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ðalskipulag</w:t>
      </w: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</w:p>
    <w:p w:rsidR="00307222" w:rsidRPr="00E23B57" w:rsidRDefault="00307222" w:rsidP="00307222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Skipulagsgjald er fyrir veitta þjónustu og verkefni skipulagsfulltrúa, m.a. fyrir undirbúning, svo sem vegna nauðsynlegrar aðkeyptrar sérfræðiþjónustu, yfirferð skipulagsgagna og skjalfærslu gagna. Gjald miðast við eina yfirferð skipulagsgagna.  </w:t>
      </w:r>
    </w:p>
    <w:p w:rsidR="00307222" w:rsidRPr="00E23B57" w:rsidRDefault="00307222" w:rsidP="00CC4D20">
      <w:pPr>
        <w:pStyle w:val="ListParagraph"/>
        <w:tabs>
          <w:tab w:val="right" w:pos="9356"/>
        </w:tabs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D20" w:rsidRPr="00E23B57" w:rsidRDefault="00CC4D20" w:rsidP="00CC4D20">
      <w:pPr>
        <w:pStyle w:val="ListParagraph"/>
        <w:numPr>
          <w:ilvl w:val="1"/>
          <w:numId w:val="5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Afgreiðslugjald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við móttöku umsóknar</w:t>
      </w:r>
      <w:r w:rsidR="005207E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um breytingu aðalskipulags</w:t>
      </w:r>
      <w:r w:rsidR="003D7FD8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10.500 kr.</w:t>
      </w:r>
    </w:p>
    <w:p w:rsidR="003D7FD8" w:rsidRPr="00E23B57" w:rsidRDefault="00CC4D20" w:rsidP="003D7FD8">
      <w:pPr>
        <w:pStyle w:val="ListParagraph"/>
        <w:numPr>
          <w:ilvl w:val="1"/>
          <w:numId w:val="5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Umsýslu</w:t>
      </w:r>
      <w:r w:rsidR="00E333CC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vegna breytinga á aðalskipulagi skv. 1. mgr. 36.gr. skipulagslaga</w:t>
      </w:r>
      <w:r w:rsidR="003D7FD8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290.000 kr.</w:t>
      </w:r>
    </w:p>
    <w:p w:rsidR="00CC4D20" w:rsidRPr="00E23B57" w:rsidRDefault="00CC4D20" w:rsidP="00CC4D20">
      <w:pPr>
        <w:pStyle w:val="ListParagraph"/>
        <w:numPr>
          <w:ilvl w:val="1"/>
          <w:numId w:val="5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lastRenderedPageBreak/>
        <w:t>Umsýslu</w:t>
      </w:r>
      <w:r w:rsidR="00E333CC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vegna óverulegra breytinga á aðalskipulagi skv. 2. mgr. 36. gr. skipulagslaga</w:t>
      </w:r>
      <w:r w:rsidR="003D7FD8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190.000 kr.</w:t>
      </w:r>
    </w:p>
    <w:p w:rsidR="00CC4D20" w:rsidRPr="00E23B57" w:rsidRDefault="003D7FD8" w:rsidP="00CC4D20">
      <w:pPr>
        <w:pStyle w:val="ListParagraph"/>
        <w:numPr>
          <w:ilvl w:val="1"/>
          <w:numId w:val="5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Útlagður k</w:t>
      </w:r>
      <w:r w:rsidR="00CC4D20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ostnaður vegna auglýsinga skipulagsáætlana 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skal innheimta sérstaklega samkvæmt reikningi hverju sinni</w:t>
      </w:r>
    </w:p>
    <w:p w:rsidR="003D7FD8" w:rsidRPr="00E23B57" w:rsidRDefault="003D7FD8" w:rsidP="00CC4D20">
      <w:pPr>
        <w:pStyle w:val="ListParagraph"/>
        <w:numPr>
          <w:ilvl w:val="1"/>
          <w:numId w:val="5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Auka yfirferð skipulagsgagna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10.500 kr./klst.</w:t>
      </w:r>
    </w:p>
    <w:p w:rsidR="003D7FD8" w:rsidRPr="00E23B57" w:rsidRDefault="003D7FD8" w:rsidP="00CC4D20">
      <w:pPr>
        <w:pStyle w:val="ListParagraph"/>
        <w:numPr>
          <w:ilvl w:val="1"/>
          <w:numId w:val="5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Umsýsla vegna afhendingu landupplýsinga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10.500 kr.</w:t>
      </w:r>
    </w:p>
    <w:p w:rsidR="002E36E7" w:rsidRPr="00E23B57" w:rsidRDefault="002E36E7" w:rsidP="00CC4D20">
      <w:pPr>
        <w:pStyle w:val="ListParagraph"/>
        <w:tabs>
          <w:tab w:val="right" w:pos="9356"/>
        </w:tabs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D20" w:rsidRPr="00E23B57" w:rsidRDefault="00CC4D20" w:rsidP="00CC4D20">
      <w:pPr>
        <w:pStyle w:val="ListParagraph"/>
        <w:numPr>
          <w:ilvl w:val="0"/>
          <w:numId w:val="1"/>
        </w:numPr>
        <w:tabs>
          <w:tab w:val="right" w:pos="9356"/>
        </w:tabs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gr.</w:t>
      </w:r>
    </w:p>
    <w:p w:rsidR="00CC4D20" w:rsidRPr="00E23B57" w:rsidRDefault="00D13620" w:rsidP="00CC4D20">
      <w:pPr>
        <w:pStyle w:val="ListParagraph"/>
        <w:tabs>
          <w:tab w:val="right" w:pos="9356"/>
        </w:tabs>
        <w:ind w:left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Skipulagsgjöld vegna d</w:t>
      </w:r>
      <w:r w:rsidR="003F2851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eili</w:t>
      </w:r>
      <w:r w:rsidR="00CC4D20"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skipulag</w:t>
      </w:r>
      <w:r w:rsidRPr="00E23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sáætlana</w:t>
      </w:r>
    </w:p>
    <w:p w:rsidR="00307222" w:rsidRPr="00E23B57" w:rsidRDefault="00307222" w:rsidP="00307222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Skipulagsgjald er fyrir veitta þjónustu og verkefni skipulagsfulltrúa, m.a. fyrir undirbúning, svo sem vegna nauðsynlegrar aðkeyptrar sérfræðiþjónustu, yfirferð skipulagsgagna og skjalfærslu gagna. Gjald miðast við eina yfirferð skipulagsgagna.  </w:t>
      </w:r>
    </w:p>
    <w:p w:rsidR="00307222" w:rsidRPr="00E23B57" w:rsidRDefault="00307222" w:rsidP="00CC4D20">
      <w:pPr>
        <w:pStyle w:val="ListParagraph"/>
        <w:tabs>
          <w:tab w:val="right" w:pos="9356"/>
        </w:tabs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7EE" w:rsidRPr="005207EE" w:rsidRDefault="00C53079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Afgreiðslugjald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 xml:space="preserve"> við móttöku umsóknar</w:t>
      </w:r>
      <w:r w:rsidR="005207E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10.500 kr.</w:t>
      </w:r>
    </w:p>
    <w:p w:rsidR="00C53079" w:rsidRPr="00E23B57" w:rsidRDefault="00C53079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</w:t>
      </w:r>
      <w:r w:rsidR="00E333CC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vegna lýsingar skipulagsáætlunar</w:t>
      </w:r>
      <w:r w:rsidR="00E23B57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50.000 kr.</w:t>
      </w:r>
    </w:p>
    <w:p w:rsidR="00C53079" w:rsidRPr="00E23B57" w:rsidRDefault="00C53079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</w:t>
      </w:r>
      <w:r w:rsidR="00E333CC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vegna nýs deiliskipulags skv. 2. </w:t>
      </w:r>
      <w:r w:rsidR="00D6106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gr. 38. </w:t>
      </w:r>
      <w:r w:rsidR="00D6106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r. skipulagslaga</w:t>
      </w:r>
      <w:r w:rsidR="00E23B57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138.600 kr.</w:t>
      </w:r>
    </w:p>
    <w:p w:rsidR="00C53079" w:rsidRPr="00E23B57" w:rsidRDefault="00C53079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</w:t>
      </w:r>
      <w:r w:rsidR="00E333CC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vegna verulegrar breytinga á deiliskipulagi skv. 1. </w:t>
      </w:r>
      <w:r w:rsidR="00D6106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gr. 43. </w:t>
      </w:r>
      <w:r w:rsidR="00D6106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r. skipulagslaga</w:t>
      </w:r>
      <w:r w:rsidR="00E23B57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138.600 kr.</w:t>
      </w:r>
    </w:p>
    <w:p w:rsidR="00C53079" w:rsidRPr="00E23B57" w:rsidRDefault="00C53079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</w:t>
      </w:r>
      <w:r w:rsidR="00E333CC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vegna óverulegrar breytinga á deiliskipulagi skv. 2. </w:t>
      </w:r>
      <w:r w:rsidR="00D6106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gr. 43. </w:t>
      </w:r>
      <w:r w:rsidR="00D61061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r. skipulagslaga</w:t>
      </w:r>
      <w:r w:rsidR="00E23B57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46.200 kr.</w:t>
      </w:r>
    </w:p>
    <w:p w:rsidR="00A02445" w:rsidRPr="00E23B57" w:rsidRDefault="00A02445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</w:t>
      </w:r>
      <w:r w:rsidR="00E333CC"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gjald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vegna grenndarkynningar skv. 1. mgr. 44. gr. skipulaglaga</w:t>
      </w:r>
      <w:r w:rsidR="00E23B57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46.200 kr.</w:t>
      </w:r>
    </w:p>
    <w:p w:rsidR="00E23B57" w:rsidRPr="00E23B57" w:rsidRDefault="00E23B57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Útlagður kostnaður vegna auglýsinga skipulagsáætlana skal innheimta sérstaklega samkvæmt reikningi hverju sinni</w:t>
      </w:r>
    </w:p>
    <w:p w:rsidR="00E23B57" w:rsidRPr="00E23B57" w:rsidRDefault="00E23B57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Auka yfirferð skipulagsgagna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10.500 kr./klst.</w:t>
      </w:r>
    </w:p>
    <w:p w:rsidR="00C53079" w:rsidRPr="00E23B57" w:rsidRDefault="00E23B57" w:rsidP="00C53079">
      <w:pPr>
        <w:pStyle w:val="ListParagraph"/>
        <w:numPr>
          <w:ilvl w:val="1"/>
          <w:numId w:val="1"/>
        </w:numPr>
        <w:tabs>
          <w:tab w:val="right" w:pos="9356"/>
        </w:tabs>
        <w:ind w:left="567" w:hanging="56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Umsýsla vegna afhendingu landupplýsinga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  <w:t>10.500 kr</w:t>
      </w:r>
      <w:r w:rsidR="00F450C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>.</w:t>
      </w:r>
      <w:r w:rsidRPr="00E23B5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is-IS"/>
        </w:rPr>
        <w:tab/>
      </w:r>
    </w:p>
    <w:p w:rsidR="00991E94" w:rsidRPr="00E23B57" w:rsidRDefault="00991E94" w:rsidP="00991E94">
      <w:pPr>
        <w:pStyle w:val="ListParagraph"/>
        <w:tabs>
          <w:tab w:val="right" w:pos="9356"/>
        </w:tabs>
        <w:ind w:left="567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991E94" w:rsidRPr="00E23B57" w:rsidRDefault="00991E94" w:rsidP="00991E94">
      <w:pPr>
        <w:pStyle w:val="ListParagraph"/>
        <w:numPr>
          <w:ilvl w:val="0"/>
          <w:numId w:val="1"/>
        </w:numPr>
        <w:tabs>
          <w:tab w:val="right" w:pos="9356"/>
        </w:tabs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gr.</w:t>
      </w:r>
    </w:p>
    <w:p w:rsidR="00991E94" w:rsidRPr="00E23B57" w:rsidRDefault="00991E94" w:rsidP="00991E94">
      <w:pPr>
        <w:pStyle w:val="ListParagraph"/>
        <w:tabs>
          <w:tab w:val="right" w:pos="9356"/>
        </w:tabs>
        <w:ind w:left="0"/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Gjalddagi, lögveð</w:t>
      </w:r>
    </w:p>
    <w:p w:rsidR="007D7977" w:rsidRPr="00E23B57" w:rsidRDefault="007D7977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D7977" w:rsidRPr="00E23B57" w:rsidRDefault="007D7977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Afgreiðslugjald fellur í gjalddaga við móttöku erindis og skal vera greitt áður en fjallað er um erindi.</w:t>
      </w:r>
    </w:p>
    <w:p w:rsidR="007D7977" w:rsidRPr="00E23B57" w:rsidRDefault="007D7977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F3728" w:rsidRPr="00E23B57" w:rsidRDefault="00BF3728" w:rsidP="00BF3728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Umsýslu- og auglýsingagjald skal greiða fyrir útgáfu byggingar- og framkvæmdaleyfis.</w:t>
      </w:r>
    </w:p>
    <w:p w:rsidR="00BF3728" w:rsidRPr="00E23B57" w:rsidRDefault="00BF3728" w:rsidP="00BF3728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D7977" w:rsidRPr="00E23B57" w:rsidRDefault="007D7977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Umsýslu- og auglýsingagjald skal greiða áður en </w:t>
      </w:r>
      <w:r w:rsidR="00C2091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skipulagstillaga </w:t>
      </w:r>
      <w:r w:rsidR="00AA05D2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er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auglýst</w:t>
      </w:r>
      <w:r w:rsidR="00C2091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eða grenndarkynnt</w:t>
      </w:r>
      <w:r w:rsidR="00AA05D2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AA05D2" w:rsidRPr="00E23B57" w:rsidRDefault="00AA05D2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991E94" w:rsidRPr="00E23B57" w:rsidRDefault="00BF3728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Afgreiðslugjöld eru óaftur</w:t>
      </w:r>
      <w:r w:rsidR="00991E94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kræf þótt umsókn sé synjað, leyfi falli úr gildi eða umsókn dregin til baka.  Leyfis- og </w:t>
      </w:r>
      <w:r w:rsidR="00367A98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auglýsinga</w:t>
      </w:r>
      <w:r w:rsidR="00991E94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gjöld samkvæmt gjaldskrá þessari eru ekki endurkræf, þótt ekki verði af framkvæmd.  </w:t>
      </w:r>
    </w:p>
    <w:p w:rsidR="00367A98" w:rsidRPr="00E23B57" w:rsidRDefault="00367A98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991E94" w:rsidRPr="00E23B57" w:rsidRDefault="00991E94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Heimilt er að gera skriflegan samning um greiðslur.  Afgreiðslu-, umsýs</w:t>
      </w:r>
      <w:r w:rsidR="00D25337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lu-, auglýsinga-, byggingar-, 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framkvæmd</w:t>
      </w:r>
      <w:r w:rsidR="00D25337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a- og skipulagsgjöld fylgir lögveð í viðkomandi fasteign eða lóð og gjaldfallin gjöld má innheimta með fjarnámi.</w:t>
      </w:r>
    </w:p>
    <w:p w:rsidR="00367A98" w:rsidRPr="00E23B57" w:rsidRDefault="00367A98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367A98" w:rsidRPr="00E23B57" w:rsidRDefault="00D33953" w:rsidP="00367A98">
      <w:pPr>
        <w:pStyle w:val="ListParagraph"/>
        <w:numPr>
          <w:ilvl w:val="0"/>
          <w:numId w:val="1"/>
        </w:numPr>
        <w:tabs>
          <w:tab w:val="right" w:pos="9356"/>
        </w:tabs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</w:t>
      </w:r>
      <w:r w:rsidR="00367A98"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r.</w:t>
      </w:r>
    </w:p>
    <w:p w:rsidR="00367A98" w:rsidRPr="00E23B57" w:rsidRDefault="00367A98" w:rsidP="00367A98">
      <w:pPr>
        <w:pStyle w:val="ListParagraph"/>
        <w:tabs>
          <w:tab w:val="right" w:pos="9356"/>
        </w:tabs>
        <w:ind w:left="0"/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Verðlagsbreytingar</w:t>
      </w:r>
    </w:p>
    <w:p w:rsidR="00367A98" w:rsidRPr="00E23B57" w:rsidRDefault="00367A98" w:rsidP="00367A98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Gjöld skv. gjaldskrá þessari miðast við byggingarvísitölu með grunnvísitölu </w:t>
      </w:r>
      <w:r w:rsidR="00C20917">
        <w:rPr>
          <w:rFonts w:asciiTheme="majorHAnsi" w:hAnsiTheme="majorHAnsi" w:cstheme="majorHAnsi"/>
          <w:color w:val="000000" w:themeColor="text1"/>
          <w:sz w:val="24"/>
          <w:szCs w:val="24"/>
        </w:rPr>
        <w:t>131,6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í </w:t>
      </w:r>
      <w:r w:rsidR="00C20917">
        <w:rPr>
          <w:rFonts w:asciiTheme="majorHAnsi" w:hAnsiTheme="majorHAnsi" w:cstheme="majorHAnsi"/>
          <w:color w:val="000000" w:themeColor="text1"/>
          <w:sz w:val="24"/>
          <w:szCs w:val="24"/>
        </w:rPr>
        <w:t>september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2016.  Gjöldin taka mánaðarlegum breytingum í samræmi við breytingar á vísitölunni.</w:t>
      </w:r>
    </w:p>
    <w:p w:rsidR="00367A98" w:rsidRPr="00E23B57" w:rsidRDefault="00367A98" w:rsidP="00367A98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367A98" w:rsidRPr="00E23B57" w:rsidRDefault="00D33953" w:rsidP="00367A98">
      <w:pPr>
        <w:pStyle w:val="ListParagraph"/>
        <w:numPr>
          <w:ilvl w:val="0"/>
          <w:numId w:val="1"/>
        </w:numPr>
        <w:tabs>
          <w:tab w:val="right" w:pos="9356"/>
        </w:tabs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</w:t>
      </w:r>
      <w:r w:rsidR="00367A98"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r.</w:t>
      </w:r>
    </w:p>
    <w:p w:rsidR="00367A98" w:rsidRPr="00E23B57" w:rsidRDefault="00367A98" w:rsidP="00367A98">
      <w:pPr>
        <w:pStyle w:val="ListParagraph"/>
        <w:tabs>
          <w:tab w:val="right" w:pos="9356"/>
        </w:tabs>
        <w:ind w:left="0"/>
        <w:jc w:val="center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Gildistaka o.fl</w:t>
      </w:r>
    </w:p>
    <w:p w:rsidR="00367A98" w:rsidRPr="00E23B57" w:rsidRDefault="00367A98" w:rsidP="00367A98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Gjaldskrá þessi, sem samþykkt er af hreppsnefnd Skorradalshrepps, tekur gildi við birtingu í B-deild Stjórnartíðinda.</w:t>
      </w:r>
    </w:p>
    <w:p w:rsidR="00367A98" w:rsidRPr="00E23B57" w:rsidRDefault="00367A98" w:rsidP="00367A98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367A98" w:rsidRPr="00E23B57" w:rsidRDefault="00367A98" w:rsidP="00D33953">
      <w:pPr>
        <w:pStyle w:val="ListParagraph"/>
        <w:tabs>
          <w:tab w:val="right" w:pos="9356"/>
        </w:tabs>
        <w:ind w:left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Með samþykkt gjaldskrár þessarar fellur úr gildi gjaldskrá </w:t>
      </w:r>
      <w:r w:rsidR="00D33953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skipulags- og byggingarfulltrúa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>embættis Skorradalshrepps</w:t>
      </w:r>
      <w:r w:rsidR="00D33953"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sem auglýst var með auglýsingu nr. 834 í B-deild Stjórnartíðinda 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þann </w:t>
      </w:r>
      <w:r w:rsidR="00C20917">
        <w:rPr>
          <w:rFonts w:asciiTheme="majorHAnsi" w:hAnsiTheme="majorHAnsi" w:cstheme="majorHAnsi"/>
          <w:color w:val="000000" w:themeColor="text1"/>
          <w:sz w:val="24"/>
          <w:szCs w:val="24"/>
        </w:rPr>
        <w:t>9. september</w:t>
      </w:r>
      <w:r w:rsidRPr="00E23B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2011.</w:t>
      </w:r>
    </w:p>
    <w:p w:rsidR="00991E94" w:rsidRPr="00E23B57" w:rsidRDefault="00991E94" w:rsidP="00991E94">
      <w:pPr>
        <w:pStyle w:val="ListParagraph"/>
        <w:tabs>
          <w:tab w:val="right" w:pos="9356"/>
        </w:tabs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A832E2" w:rsidRPr="00E23B57" w:rsidRDefault="00A832E2" w:rsidP="00FE2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Skorradal  </w:t>
      </w:r>
      <w:r w:rsidR="000B2574">
        <w:rPr>
          <w:rFonts w:ascii="Times New Roman" w:hAnsi="Times New Roman" w:cs="Times New Roman"/>
          <w:color w:val="000000" w:themeColor="text1"/>
          <w:sz w:val="24"/>
          <w:szCs w:val="24"/>
        </w:rPr>
        <w:t>26. október</w:t>
      </w:r>
      <w:r w:rsidR="00BC772E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32E2" w:rsidRPr="00E23B57" w:rsidRDefault="00A832E2" w:rsidP="00FE2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F.h. sveitarstjórnar Skorradalshrepps,</w:t>
      </w:r>
    </w:p>
    <w:p w:rsidR="00A832E2" w:rsidRDefault="00A832E2" w:rsidP="00FE2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574" w:rsidRDefault="000B2574" w:rsidP="00FE2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574" w:rsidRPr="00E23B57" w:rsidRDefault="000B2574" w:rsidP="00FE2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83F" w:rsidRPr="00E23B57" w:rsidRDefault="00BC772E" w:rsidP="00FE2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Árni Hjörleifsson, oddviti</w:t>
      </w:r>
      <w:r w:rsidR="00A832E2" w:rsidRPr="00E23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2583F" w:rsidRPr="00E23B57" w:rsidSect="00F558CC">
      <w:footerReference w:type="default" r:id="rId8"/>
      <w:pgSz w:w="11906" w:h="16838"/>
      <w:pgMar w:top="1843" w:right="1191" w:bottom="1440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0EF" w:rsidRDefault="000710EF" w:rsidP="00B01EC1">
      <w:pPr>
        <w:spacing w:after="0" w:line="240" w:lineRule="auto"/>
      </w:pPr>
      <w:r>
        <w:separator/>
      </w:r>
    </w:p>
  </w:endnote>
  <w:endnote w:type="continuationSeparator" w:id="0">
    <w:p w:rsidR="000710EF" w:rsidRDefault="000710EF" w:rsidP="00B0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01" w:rsidRDefault="00E52801" w:rsidP="00B01EC1">
    <w:pPr>
      <w:pStyle w:val="Footer"/>
    </w:pPr>
  </w:p>
  <w:p w:rsidR="00E52801" w:rsidRDefault="00E5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0EF" w:rsidRDefault="000710EF" w:rsidP="00B01EC1">
      <w:pPr>
        <w:spacing w:after="0" w:line="240" w:lineRule="auto"/>
      </w:pPr>
      <w:r>
        <w:separator/>
      </w:r>
    </w:p>
  </w:footnote>
  <w:footnote w:type="continuationSeparator" w:id="0">
    <w:p w:rsidR="000710EF" w:rsidRDefault="000710EF" w:rsidP="00B01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AE2"/>
    <w:multiLevelType w:val="multilevel"/>
    <w:tmpl w:val="D660E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149E5"/>
    <w:multiLevelType w:val="multilevel"/>
    <w:tmpl w:val="2C26106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3A32BD"/>
    <w:multiLevelType w:val="multilevel"/>
    <w:tmpl w:val="628891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822F29"/>
    <w:multiLevelType w:val="multilevel"/>
    <w:tmpl w:val="DF1CB1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005C07"/>
    <w:multiLevelType w:val="multilevel"/>
    <w:tmpl w:val="7472DCF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A0"/>
    <w:rsid w:val="000269DB"/>
    <w:rsid w:val="000366F8"/>
    <w:rsid w:val="0005025B"/>
    <w:rsid w:val="000517F7"/>
    <w:rsid w:val="00055F27"/>
    <w:rsid w:val="000632B9"/>
    <w:rsid w:val="00066456"/>
    <w:rsid w:val="000710EF"/>
    <w:rsid w:val="0009245B"/>
    <w:rsid w:val="00095B76"/>
    <w:rsid w:val="000A07F3"/>
    <w:rsid w:val="000A2D8C"/>
    <w:rsid w:val="000B2574"/>
    <w:rsid w:val="000C1BCD"/>
    <w:rsid w:val="000E7223"/>
    <w:rsid w:val="0010345C"/>
    <w:rsid w:val="00105568"/>
    <w:rsid w:val="00125779"/>
    <w:rsid w:val="00127F15"/>
    <w:rsid w:val="00141619"/>
    <w:rsid w:val="00156DB3"/>
    <w:rsid w:val="00163322"/>
    <w:rsid w:val="0016644C"/>
    <w:rsid w:val="00177574"/>
    <w:rsid w:val="00183182"/>
    <w:rsid w:val="00190380"/>
    <w:rsid w:val="00190BB1"/>
    <w:rsid w:val="001A1AFA"/>
    <w:rsid w:val="001B2E22"/>
    <w:rsid w:val="001F0433"/>
    <w:rsid w:val="001F081C"/>
    <w:rsid w:val="00202CED"/>
    <w:rsid w:val="002206FE"/>
    <w:rsid w:val="00226078"/>
    <w:rsid w:val="00232B53"/>
    <w:rsid w:val="0024448C"/>
    <w:rsid w:val="00246C21"/>
    <w:rsid w:val="00254DA0"/>
    <w:rsid w:val="00256AD6"/>
    <w:rsid w:val="0026127E"/>
    <w:rsid w:val="0028671D"/>
    <w:rsid w:val="002A044A"/>
    <w:rsid w:val="002A71D6"/>
    <w:rsid w:val="002B6F24"/>
    <w:rsid w:val="002B6FE9"/>
    <w:rsid w:val="002D2F1B"/>
    <w:rsid w:val="002D65F6"/>
    <w:rsid w:val="002E36E7"/>
    <w:rsid w:val="00307222"/>
    <w:rsid w:val="0032698C"/>
    <w:rsid w:val="00332C6E"/>
    <w:rsid w:val="00342E6F"/>
    <w:rsid w:val="00344F03"/>
    <w:rsid w:val="00347665"/>
    <w:rsid w:val="00354E54"/>
    <w:rsid w:val="00364333"/>
    <w:rsid w:val="00367A98"/>
    <w:rsid w:val="003704B0"/>
    <w:rsid w:val="00375CB5"/>
    <w:rsid w:val="00382D57"/>
    <w:rsid w:val="00382FCF"/>
    <w:rsid w:val="00383644"/>
    <w:rsid w:val="0038547B"/>
    <w:rsid w:val="00394A5E"/>
    <w:rsid w:val="003951EF"/>
    <w:rsid w:val="003A294B"/>
    <w:rsid w:val="003A67AD"/>
    <w:rsid w:val="003B593D"/>
    <w:rsid w:val="003C3344"/>
    <w:rsid w:val="003D7FD8"/>
    <w:rsid w:val="003F2851"/>
    <w:rsid w:val="003F6396"/>
    <w:rsid w:val="0040529C"/>
    <w:rsid w:val="00412CD8"/>
    <w:rsid w:val="00444D2C"/>
    <w:rsid w:val="00453EAB"/>
    <w:rsid w:val="0048085A"/>
    <w:rsid w:val="00493078"/>
    <w:rsid w:val="004941B1"/>
    <w:rsid w:val="004E1CB5"/>
    <w:rsid w:val="004E67A2"/>
    <w:rsid w:val="004E708F"/>
    <w:rsid w:val="004E78D0"/>
    <w:rsid w:val="004F5EFF"/>
    <w:rsid w:val="005012C6"/>
    <w:rsid w:val="00502B49"/>
    <w:rsid w:val="0051610A"/>
    <w:rsid w:val="005207EE"/>
    <w:rsid w:val="005259E4"/>
    <w:rsid w:val="00546715"/>
    <w:rsid w:val="005522EF"/>
    <w:rsid w:val="00562271"/>
    <w:rsid w:val="00570DE7"/>
    <w:rsid w:val="005737D4"/>
    <w:rsid w:val="00597121"/>
    <w:rsid w:val="005A2434"/>
    <w:rsid w:val="005A69CA"/>
    <w:rsid w:val="005A7CC5"/>
    <w:rsid w:val="005B0DD3"/>
    <w:rsid w:val="005C2DC1"/>
    <w:rsid w:val="005D3899"/>
    <w:rsid w:val="005F1432"/>
    <w:rsid w:val="0060561B"/>
    <w:rsid w:val="00620D5A"/>
    <w:rsid w:val="0062583F"/>
    <w:rsid w:val="00652F1E"/>
    <w:rsid w:val="006543BD"/>
    <w:rsid w:val="0067036D"/>
    <w:rsid w:val="00681A70"/>
    <w:rsid w:val="006822AD"/>
    <w:rsid w:val="006848BA"/>
    <w:rsid w:val="006A4064"/>
    <w:rsid w:val="006C3424"/>
    <w:rsid w:val="006C4612"/>
    <w:rsid w:val="006E35FC"/>
    <w:rsid w:val="00703F6B"/>
    <w:rsid w:val="00724B53"/>
    <w:rsid w:val="00747033"/>
    <w:rsid w:val="00754294"/>
    <w:rsid w:val="00785916"/>
    <w:rsid w:val="0079341B"/>
    <w:rsid w:val="00794F08"/>
    <w:rsid w:val="00795D84"/>
    <w:rsid w:val="007A3A80"/>
    <w:rsid w:val="007C0874"/>
    <w:rsid w:val="007D415A"/>
    <w:rsid w:val="007D442A"/>
    <w:rsid w:val="007D7977"/>
    <w:rsid w:val="007E2CDF"/>
    <w:rsid w:val="0081213D"/>
    <w:rsid w:val="008200EE"/>
    <w:rsid w:val="00841D6E"/>
    <w:rsid w:val="0086070E"/>
    <w:rsid w:val="0086180B"/>
    <w:rsid w:val="00861F0B"/>
    <w:rsid w:val="00871123"/>
    <w:rsid w:val="0089038A"/>
    <w:rsid w:val="008D2C24"/>
    <w:rsid w:val="0090560D"/>
    <w:rsid w:val="00914A59"/>
    <w:rsid w:val="00936510"/>
    <w:rsid w:val="0095008D"/>
    <w:rsid w:val="00953E92"/>
    <w:rsid w:val="0096272A"/>
    <w:rsid w:val="00972DD7"/>
    <w:rsid w:val="0097571C"/>
    <w:rsid w:val="00983610"/>
    <w:rsid w:val="00983A0E"/>
    <w:rsid w:val="00991E94"/>
    <w:rsid w:val="009933EE"/>
    <w:rsid w:val="009A58C1"/>
    <w:rsid w:val="009C22D8"/>
    <w:rsid w:val="009C7BFE"/>
    <w:rsid w:val="009F1730"/>
    <w:rsid w:val="009F741B"/>
    <w:rsid w:val="00A02445"/>
    <w:rsid w:val="00A14215"/>
    <w:rsid w:val="00A21192"/>
    <w:rsid w:val="00A2570F"/>
    <w:rsid w:val="00A33DD3"/>
    <w:rsid w:val="00A36857"/>
    <w:rsid w:val="00A41E24"/>
    <w:rsid w:val="00A43751"/>
    <w:rsid w:val="00A47BE3"/>
    <w:rsid w:val="00A53742"/>
    <w:rsid w:val="00A6300E"/>
    <w:rsid w:val="00A66DCA"/>
    <w:rsid w:val="00A67378"/>
    <w:rsid w:val="00A701F5"/>
    <w:rsid w:val="00A74743"/>
    <w:rsid w:val="00A80DAD"/>
    <w:rsid w:val="00A832E2"/>
    <w:rsid w:val="00A943DD"/>
    <w:rsid w:val="00A961E9"/>
    <w:rsid w:val="00AA05D2"/>
    <w:rsid w:val="00AB13ED"/>
    <w:rsid w:val="00AC64DF"/>
    <w:rsid w:val="00AD3434"/>
    <w:rsid w:val="00AD4BBA"/>
    <w:rsid w:val="00AD51A8"/>
    <w:rsid w:val="00B01EC1"/>
    <w:rsid w:val="00B10E4D"/>
    <w:rsid w:val="00B154D2"/>
    <w:rsid w:val="00B405F6"/>
    <w:rsid w:val="00B472AD"/>
    <w:rsid w:val="00B501D4"/>
    <w:rsid w:val="00B64BF0"/>
    <w:rsid w:val="00B94E55"/>
    <w:rsid w:val="00BB6241"/>
    <w:rsid w:val="00BC772E"/>
    <w:rsid w:val="00BE104D"/>
    <w:rsid w:val="00BF3728"/>
    <w:rsid w:val="00C06F33"/>
    <w:rsid w:val="00C20917"/>
    <w:rsid w:val="00C53079"/>
    <w:rsid w:val="00C65E29"/>
    <w:rsid w:val="00CC4D20"/>
    <w:rsid w:val="00CC52F2"/>
    <w:rsid w:val="00CD0CDB"/>
    <w:rsid w:val="00CD1256"/>
    <w:rsid w:val="00CF0EA4"/>
    <w:rsid w:val="00D13620"/>
    <w:rsid w:val="00D25337"/>
    <w:rsid w:val="00D33953"/>
    <w:rsid w:val="00D44FC0"/>
    <w:rsid w:val="00D61061"/>
    <w:rsid w:val="00DB4FB1"/>
    <w:rsid w:val="00DC2CAF"/>
    <w:rsid w:val="00DD4357"/>
    <w:rsid w:val="00E115E8"/>
    <w:rsid w:val="00E23B57"/>
    <w:rsid w:val="00E3302C"/>
    <w:rsid w:val="00E333CC"/>
    <w:rsid w:val="00E40CA2"/>
    <w:rsid w:val="00E4186B"/>
    <w:rsid w:val="00E52801"/>
    <w:rsid w:val="00E73AAB"/>
    <w:rsid w:val="00E8261F"/>
    <w:rsid w:val="00E827BE"/>
    <w:rsid w:val="00EA5A09"/>
    <w:rsid w:val="00ED22D1"/>
    <w:rsid w:val="00EE0553"/>
    <w:rsid w:val="00EE09DC"/>
    <w:rsid w:val="00EE512E"/>
    <w:rsid w:val="00F02E53"/>
    <w:rsid w:val="00F05A35"/>
    <w:rsid w:val="00F11E20"/>
    <w:rsid w:val="00F140B5"/>
    <w:rsid w:val="00F26718"/>
    <w:rsid w:val="00F33565"/>
    <w:rsid w:val="00F450C3"/>
    <w:rsid w:val="00F45218"/>
    <w:rsid w:val="00F558CC"/>
    <w:rsid w:val="00F60552"/>
    <w:rsid w:val="00F67595"/>
    <w:rsid w:val="00FA7ED7"/>
    <w:rsid w:val="00FB79F4"/>
    <w:rsid w:val="00FC77AB"/>
    <w:rsid w:val="00FD3AF0"/>
    <w:rsid w:val="00FD48C5"/>
    <w:rsid w:val="00FE2D07"/>
    <w:rsid w:val="00FE6799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A6503-6D73-459D-9B44-E87871C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2E2"/>
  </w:style>
  <w:style w:type="paragraph" w:styleId="Heading1">
    <w:name w:val="heading 1"/>
    <w:basedOn w:val="Normal"/>
    <w:next w:val="Normal"/>
    <w:link w:val="Heading1Char"/>
    <w:qFormat/>
    <w:rsid w:val="00A832E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16"/>
      <w:lang w:val="en-US"/>
    </w:rPr>
  </w:style>
  <w:style w:type="paragraph" w:styleId="Heading2">
    <w:name w:val="heading 2"/>
    <w:basedOn w:val="Normal"/>
    <w:next w:val="Normal"/>
    <w:link w:val="Heading2Char"/>
    <w:qFormat/>
    <w:rsid w:val="00A832E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i/>
      <w:iCs/>
      <w:noProof/>
      <w:color w:val="000000"/>
      <w:sz w:val="24"/>
      <w:szCs w:val="1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EC1"/>
  </w:style>
  <w:style w:type="paragraph" w:styleId="Footer">
    <w:name w:val="footer"/>
    <w:basedOn w:val="Normal"/>
    <w:link w:val="FooterChar"/>
    <w:uiPriority w:val="99"/>
    <w:semiHidden/>
    <w:unhideWhenUsed/>
    <w:rsid w:val="00B0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EC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664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6644C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NoSpacing">
    <w:name w:val="No Spacing"/>
    <w:uiPriority w:val="1"/>
    <w:qFormat/>
    <w:rsid w:val="0034766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65F6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832E2"/>
    <w:rPr>
      <w:rFonts w:ascii="Times New Roman" w:eastAsia="Times New Roman" w:hAnsi="Times New Roman" w:cs="Times New Roman"/>
      <w:b/>
      <w:bCs/>
      <w:color w:val="00000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A832E2"/>
    <w:rPr>
      <w:rFonts w:ascii="Times New Roman" w:eastAsia="Times New Roman" w:hAnsi="Times New Roman" w:cs="Times New Roman"/>
      <w:i/>
      <w:iCs/>
      <w:noProof/>
      <w:color w:val="000000"/>
      <w:sz w:val="24"/>
      <w:szCs w:val="16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BC77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2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66AA-50AD-44BB-96ED-450E3611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Helga Jensína Svavarsdóttir</cp:lastModifiedBy>
  <cp:revision>3</cp:revision>
  <cp:lastPrinted>2016-03-29T14:04:00Z</cp:lastPrinted>
  <dcterms:created xsi:type="dcterms:W3CDTF">2018-05-22T22:03:00Z</dcterms:created>
  <dcterms:modified xsi:type="dcterms:W3CDTF">2018-05-22T22:04:00Z</dcterms:modified>
</cp:coreProperties>
</file>